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156</w:t>
      </w:r>
    </w:p>
    <w:p>
      <w:r>
        <w:t>Bundesgericht (BGE), 2008-01-01, DE</w:t>
      </w:r>
    </w:p>
    <w:p>
      <w:r>
        <w:rPr>
          <w:b/>
        </w:rPr>
        <w:t xml:space="preserve">Quelle: </w:t>
      </w:r>
      <w:r>
        <w:t>https://mcp.opencaselaw.ch/entscheid/bge_134 IV 156</w:t>
      </w:r>
    </w:p>
    <w:p>
      <w:r>
        <w:t>FR: ATF 134 IV 156</w:t>
      </w:r>
    </w:p>
    <w:p>
      <w:r>
        <w:t>IT: DTF 134 IV 156</w:t>
      </w:r>
    </w:p>
    <w:p>
      <w:pPr>
        <w:pStyle w:val="Heading2"/>
      </w:pPr>
      <w:r>
        <w:t>Regeste</w:t>
      </w:r>
    </w:p>
    <w:p>
      <w:r>
        <w:t>Regeste a Art. 84 BGG; Auslieferung, Beschwerde in öffentlich-rechtlichen Angelegenheiten, Eintretensvoraussetzung des besonders bedeutenden Falles. Auch bei einer Auslieferung kann ein besonders bedeutender Fall nur ausnahmsweise angenommen werden. Besondere Bedeutung des Falles hier bejaht, da Anlass bestand zu einer grundsätzlichen Auseinandersetzung mit der Frage der Wirksamkeit diplomatischer Zusicherungen in Bezug auf die menschenrechtskonforme Behandlung des Verfolgten im ersuchenden Staat (E. 1.3).</w:t>
      </w:r>
    </w:p>
    <w:p>
      <w:r>
        <w:t>Regeste b Art. 43 BGG; ergänzende Beschwerdeschrift. Nachfrist zur Ergänzung der Beschwerdebegründung in Anbetracht der Schwierigkeit der sich stellenden Fragen ausnahmsweise gewährt (E. 1.6).</w:t>
      </w:r>
    </w:p>
    <w:p>
      <w:r>
        <w:t>Regeste c Art. 42 Abs. 1, Art. 43 und Art. 100 Abs. 2 lit. b BGG; neue Begehren nach Ablauf der Beschwerdefrist. Mit Anträgen, die der Beschwerdeführer bereits in der Beschwerde hätte stellen können, ist er nach Ablauf der Beschwerdefrist (hier: von 10 Tagen) ausgeschlossen. Das Bundesgerichtsgesetz sieht im Bereich der internationalen Rechtshilfe in Strafsachen die Möglichkeit einer Nachfrist zur Ergänzung lediglich der Begründung der Beschwerde vor. Neue Begehren können nicht nachgeschoben werden (E. 1.7).</w:t>
      </w:r>
    </w:p>
    <w:p>
      <w:r>
        <w:t>Regeste d Art. 10 Abs. 3 und Art. 25 Abs. 3 BV, Art. 3 EMRK, Art. 7 und Art. 10 Abs. 1 UNO-Pakt II, Art. 37 Abs. 3 und Art. 80p IRSG; diplomatische Zusicherungen des ersuchenden Staates in Bezug auf die menschenrechtskonforme Behandlung des Verfolgten. Diplomatische Zusicherungen können einen wirksamen Schutz für den Verfolgten darstellen. Bei der Prüfung, ob dies der Fall sei, ist eine Risikobeurteilung vorzunehmen. Im vorliegenden Fall (Auslieferung eines mutmasslichen Wirtschaftsdelinquenten an Russland) Zulässigkeit der Auslieferung unter Einholung diplomatischer Zusicherungen bejaht (E. 6).</w:t>
      </w:r>
    </w:p>
    <w:p>
      <w:pPr>
        <w:pStyle w:val="Heading2"/>
      </w:pPr>
      <w:r>
        <w:t>Erwägungen</w:t>
      </w:r>
    </w:p>
    <w:p>
      <w:r>
        <w:rPr>
          <w:b/>
        </w:rPr>
        <w:t>E. 1.3.1</w:t>
      </w:r>
    </w:p>
    <w:p>
      <w:r>
        <w:t>Gemäss Art. 84 BGG ist gegen einen Entscheid auf dem Gebiet der internationalen Rechtshilfe in Strafsachen die Beschwerde in öffentlich-rechtlichen Angelegenheiten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 BGE 133 IV 131 E. 3 S. 132, BGE 133 IV 132 E. 1.3 S. 134). Bei der Beantwortung der Frage, ob ein besonders bedeutender Fall gegeben ist, steht dem Bundesgericht ein weiter Ermessensspielraum zu (Urteil 1C_138/2007 vom 17. Juli 2007, E. 2.1, mit Hinweis).</w:t>
      </w:r>
    </w:p>
    <w:p>
      <w:r>
        <w:rPr>
          <w:b/>
        </w:rPr>
        <w:t>E. 1.3.2</w:t>
      </w:r>
    </w:p>
    <w:p>
      <w:r>
        <w:t>Es geht hier um eine Auslieferung und damit um ein Sachgebiet, bei dem die Beschwerde nach Art. 84 Abs. 1 BGG möglich ist. Es stellt sich die Frage, ob ein besonders bedeutender Fall gegeben sei.</w:t>
      </w:r>
    </w:p>
    <w:p>
      <w:r>
        <w:rPr>
          <w:b/>
        </w:rPr>
        <w:t>E. 1.3.3</w:t>
      </w:r>
    </w:p>
    <w:p>
      <w:r>
        <w:t>Der Beschwerdeführer stellt die Wirksamkeit der von den russischen Behörden einzuholenden Zusicherung in Bezug auf seine menschenrechtskonforme Behandlung in Frage. Er bringt vor, Russland habe sich bereits über derartige Garantien hinweggesetzt. Ein Londoner Gericht habe deshalb eine Auslieferung an Russland abgelehnt, obgleich diplomatische Zusicherungen, wie sie hier verlangt würden, vorgelegen hätten. Das Einholen von diplomatischen Zusicherungen werde von namhaften Organisationen und im Schrifttum kritisiert. Weder das Bundesamt noch die Vorinstanz stellten in Frage, dass der Beschwerdeführer im Falle einer Auslieferung aufgrund der Zustände im russischen Untersuchungshaft- und Strafvollzug der Gefahr menschenrechtswidriger Behandlung ausgesetzt wäre. Damit sei entscheidend, ob den diplomatischen Zusicherungen Russlands vertraut werden könne. Dies sei nicht der Fall. Es bestehe Anlass, dass das Bundesgericht auf seine Praxis, Auslieferungen gegen diplomatische Zusicherungen einer menschenrechtskonformen Behandlung zu bewilligen, zurückkomme. Wie unten (E. 6.2) näher darzulegen sein wird, besteht die Gefahr, dass der Beschwerdeführer in russischer Haft einer Art. 3 EMRK BGE 134 IV 156 S. 161 verletzenden Behandlung ausgesetzt sein könnte. Er zieht die Wirksamkeit diplomatischer Zusicherungen mit sachlichen Argumenten in Zweifel. Es geht insoweit um Leib und Leben und damit um das höchste Rechtsgut. Aufgrund der Vorbringen des Beschwerdeführers besteht im vorliegenden Fall Anlass zu einer grundsätzlichen Auseinandersetzung mit der Frage. Hinzu kommt, dass - wie die folgenden Darlegungen (E 6.14) ebenfalls zeigen werden - die von den russischen Behörden einzuholenden Zusicherungen in Präzisierung des Auslieferungsentscheids des Bundesamtes jedenfalls so formuliert werden können, dass der Schutz des Beschwerdeführers vor einer menschenrechtswidrigen Behandlung verstärkt wird.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